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6101" w14:textId="77777777" w:rsidR="0084088A" w:rsidRDefault="0084088A" w:rsidP="0084088A">
      <w:pPr>
        <w:pStyle w:val="Titolo1"/>
        <w:spacing w:before="0" w:beforeAutospacing="0" w:after="144" w:afterAutospacing="0" w:line="240" w:lineRule="atLeast"/>
        <w:rPr>
          <w:rFonts w:ascii="Georgia" w:hAnsi="Georgia"/>
          <w:sz w:val="53"/>
          <w:szCs w:val="53"/>
        </w:rPr>
      </w:pPr>
      <w:r>
        <w:rPr>
          <w:rFonts w:ascii="Georgia" w:hAnsi="Georgia"/>
          <w:sz w:val="53"/>
          <w:szCs w:val="53"/>
        </w:rPr>
        <w:t>Sfratto, l’ordinanza di rilascio resta valida, salvo il caso di sentenza sfavorevole al locatore</w:t>
      </w:r>
    </w:p>
    <w:p w14:paraId="51933FAD" w14:textId="77777777" w:rsidR="0084088A" w:rsidRDefault="0084088A" w:rsidP="0084088A">
      <w:pPr>
        <w:pStyle w:val="NormaleWeb"/>
        <w:spacing w:before="0" w:beforeAutospacing="0" w:after="0" w:afterAutospacing="0" w:line="324" w:lineRule="atLeast"/>
        <w:rPr>
          <w:rFonts w:ascii="Georgia" w:hAnsi="Georgia"/>
          <w:color w:val="AD9A88"/>
        </w:rPr>
      </w:pPr>
      <w:r>
        <w:rPr>
          <w:rFonts w:ascii="Georgia" w:hAnsi="Georgia"/>
          <w:color w:val="AD9A88"/>
          <w:sz w:val="21"/>
          <w:szCs w:val="21"/>
        </w:rPr>
        <w:t>di </w:t>
      </w:r>
      <w:r>
        <w:rPr>
          <w:rStyle w:val="autore"/>
          <w:rFonts w:ascii="Georgia" w:hAnsi="Georgia"/>
          <w:i/>
          <w:iCs/>
          <w:color w:val="1A171B"/>
          <w:sz w:val="21"/>
          <w:szCs w:val="21"/>
        </w:rPr>
        <w:t>Matteo Rezzonico</w:t>
      </w:r>
    </w:p>
    <w:p w14:paraId="18FEA14C" w14:textId="77777777" w:rsidR="0084088A" w:rsidRDefault="0084088A" w:rsidP="0084088A">
      <w:pPr>
        <w:shd w:val="clear" w:color="auto" w:fill="415F76"/>
        <w:spacing w:line="288" w:lineRule="atLeast"/>
        <w:jc w:val="center"/>
        <w:rPr>
          <w:rFonts w:ascii="Arial" w:hAnsi="Arial" w:cs="Arial"/>
          <w:caps/>
          <w:color w:val="FFFFFF"/>
          <w:sz w:val="15"/>
          <w:szCs w:val="15"/>
        </w:rPr>
      </w:pPr>
      <w:r>
        <w:rPr>
          <w:rFonts w:ascii="Arial" w:hAnsi="Arial" w:cs="Arial"/>
          <w:caps/>
          <w:color w:val="FFFFFF"/>
          <w:sz w:val="15"/>
          <w:szCs w:val="15"/>
        </w:rPr>
        <w:t>Q</w:t>
      </w:r>
      <w:r>
        <w:rPr>
          <w:rFonts w:ascii="Arial" w:hAnsi="Arial" w:cs="Arial"/>
          <w:caps/>
          <w:color w:val="FFFFFF"/>
          <w:sz w:val="15"/>
          <w:szCs w:val="15"/>
        </w:rPr>
        <w:br/>
        <w:t>D</w:t>
      </w:r>
      <w:r>
        <w:rPr>
          <w:rFonts w:ascii="Arial" w:hAnsi="Arial" w:cs="Arial"/>
          <w:caps/>
          <w:color w:val="FFFFFF"/>
          <w:sz w:val="15"/>
          <w:szCs w:val="15"/>
        </w:rPr>
        <w:br/>
        <w:t>C</w:t>
      </w:r>
    </w:p>
    <w:p w14:paraId="7B7EA517"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Nel giudizio di convalida di sfratto, l'articolo 665 del Codice di procedura civile consente di chiedere l'emissione dell'ordinanza di rilascio quando l'opposizione dell'intimato (cioè dell'inquilino) </w:t>
      </w:r>
      <w:r>
        <w:rPr>
          <w:rFonts w:ascii="Georgia" w:hAnsi="Georgia"/>
          <w:b/>
          <w:bCs/>
          <w:color w:val="1A171B"/>
          <w:sz w:val="27"/>
          <w:szCs w:val="27"/>
        </w:rPr>
        <w:t>non sia fondata su prova scritta </w:t>
      </w:r>
      <w:r>
        <w:rPr>
          <w:rFonts w:ascii="Georgia" w:hAnsi="Georgia"/>
          <w:color w:val="1A171B"/>
          <w:sz w:val="27"/>
          <w:szCs w:val="27"/>
        </w:rPr>
        <w:t>e non sussistano gravi motivi in senso contrario. L'ordinanza di rilascio è immediatamente esecutiva con la conseguenza che il proprietario/locatore può immediatamente chiedere in sede esecutiva il rilascio dei locali per conseguirne la liberazione, </w:t>
      </w:r>
      <w:r>
        <w:rPr>
          <w:rFonts w:ascii="Georgia" w:hAnsi="Georgia"/>
          <w:b/>
          <w:bCs/>
          <w:color w:val="1A171B"/>
          <w:sz w:val="27"/>
          <w:szCs w:val="27"/>
        </w:rPr>
        <w:t>pur nella pendenza della lite</w:t>
      </w:r>
      <w:r>
        <w:rPr>
          <w:rFonts w:ascii="Georgia" w:hAnsi="Georgia"/>
          <w:color w:val="1A171B"/>
          <w:sz w:val="27"/>
          <w:szCs w:val="27"/>
        </w:rPr>
        <w:t> volta a chiarire le rispettive ragioni delle parti.</w:t>
      </w:r>
    </w:p>
    <w:p w14:paraId="4490644F"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 xml:space="preserve">Compete all'inquilino che si opponga alla convalida – a </w:t>
      </w:r>
      <w:proofErr w:type="spellStart"/>
      <w:r>
        <w:rPr>
          <w:rFonts w:ascii="Georgia" w:hAnsi="Georgia"/>
          <w:color w:val="1A171B"/>
          <w:sz w:val="27"/>
          <w:szCs w:val="27"/>
        </w:rPr>
        <w:t>sèguito</w:t>
      </w:r>
      <w:proofErr w:type="spellEnd"/>
      <w:r>
        <w:rPr>
          <w:rFonts w:ascii="Georgia" w:hAnsi="Georgia"/>
          <w:color w:val="1A171B"/>
          <w:sz w:val="27"/>
          <w:szCs w:val="27"/>
        </w:rPr>
        <w:t xml:space="preserve"> della conversione del rito – attivare il procedimento di mediazione obbligatoria ex articolo 5, comma 1 bis del Dlgs 28/2010, </w:t>
      </w:r>
      <w:r>
        <w:rPr>
          <w:rFonts w:ascii="Georgia" w:hAnsi="Georgia"/>
          <w:b/>
          <w:bCs/>
          <w:color w:val="1A171B"/>
          <w:sz w:val="27"/>
          <w:szCs w:val="27"/>
        </w:rPr>
        <w:t>ove voglia contestare le ragioni del locatore</w:t>
      </w:r>
      <w:r>
        <w:rPr>
          <w:rFonts w:ascii="Georgia" w:hAnsi="Georgia"/>
          <w:color w:val="1A171B"/>
          <w:sz w:val="27"/>
          <w:szCs w:val="27"/>
        </w:rPr>
        <w:t>. In mancanza, l'azione diviene improcedibile e l'ordinanza rimane comunque efficace titolo esecutivo per il rilascio dei locali. In tale contesto si innesta l'interessante </w:t>
      </w:r>
      <w:hyperlink r:id="rId8" w:tgtFrame="_blank" w:history="1">
        <w:r>
          <w:rPr>
            <w:rStyle w:val="Collegamentoipertestuale"/>
            <w:rFonts w:ascii="Georgia" w:hAnsi="Georgia"/>
            <w:color w:val="415F76"/>
            <w:sz w:val="27"/>
            <w:szCs w:val="27"/>
          </w:rPr>
          <w:t>pronuncia del Tribunale di Milano 16 settembre 2020 numero 5466 della 13ª sezione civile</w:t>
        </w:r>
      </w:hyperlink>
      <w:r>
        <w:rPr>
          <w:rFonts w:ascii="Georgia" w:hAnsi="Georgia"/>
          <w:color w:val="1A171B"/>
          <w:sz w:val="27"/>
          <w:szCs w:val="27"/>
        </w:rPr>
        <w:t> che ha chiarito che </w:t>
      </w:r>
      <w:r>
        <w:rPr>
          <w:rFonts w:ascii="Georgia" w:hAnsi="Georgia"/>
          <w:b/>
          <w:bCs/>
          <w:color w:val="1A171B"/>
          <w:sz w:val="27"/>
          <w:szCs w:val="27"/>
        </w:rPr>
        <w:t>l'ordinanza di rilascio mantiene le sue caratteristiche di esecutività</w:t>
      </w:r>
      <w:r>
        <w:rPr>
          <w:rFonts w:ascii="Georgia" w:hAnsi="Georgia"/>
          <w:color w:val="1A171B"/>
          <w:sz w:val="27"/>
          <w:szCs w:val="27"/>
        </w:rPr>
        <w:t> anche se la causa non sia conclusa da una sentenza.</w:t>
      </w:r>
    </w:p>
    <w:p w14:paraId="7264F566"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Il caso</w:t>
      </w:r>
      <w:r>
        <w:rPr>
          <w:rFonts w:ascii="Georgia" w:hAnsi="Georgia"/>
          <w:color w:val="1A171B"/>
          <w:sz w:val="27"/>
          <w:szCs w:val="27"/>
        </w:rPr>
        <w:br/>
        <w:t>Nel caso affrontato dal Tribunale di Milano il proprietario di un immobile ha intimato lo sfratto per morosità al proprio inquilino relativamente ad un contratto di locazione per uso commerciale, di </w:t>
      </w:r>
      <w:r>
        <w:rPr>
          <w:rFonts w:ascii="Georgia" w:hAnsi="Georgia"/>
          <w:b/>
          <w:bCs/>
          <w:color w:val="1A171B"/>
          <w:sz w:val="27"/>
          <w:szCs w:val="27"/>
        </w:rPr>
        <w:t>un immobile sito nel centro di Milano</w:t>
      </w:r>
      <w:r>
        <w:rPr>
          <w:rFonts w:ascii="Georgia" w:hAnsi="Georgia"/>
          <w:color w:val="1A171B"/>
          <w:sz w:val="27"/>
          <w:szCs w:val="27"/>
        </w:rPr>
        <w:t>. In particolare il locatore ha puntualizzato che l'inquilino non aveva provveduto al pagamento dei canoni di locazione già scaduti. All'udienza di convalida dello sfratto, conseguentemente, il locatore ha chiesto </w:t>
      </w:r>
      <w:r>
        <w:rPr>
          <w:rFonts w:ascii="Georgia" w:hAnsi="Georgia"/>
          <w:b/>
          <w:bCs/>
          <w:color w:val="1A171B"/>
          <w:sz w:val="27"/>
          <w:szCs w:val="27"/>
        </w:rPr>
        <w:t>l'emissione dell'ordinanza di rilascio </w:t>
      </w:r>
      <w:r>
        <w:rPr>
          <w:rFonts w:ascii="Georgia" w:hAnsi="Georgia"/>
          <w:color w:val="1A171B"/>
          <w:sz w:val="27"/>
          <w:szCs w:val="27"/>
        </w:rPr>
        <w:t>che il Tribunale ha concesso, disponendo successivamente il mutamento del rito a norma dell'articolo 667 del Codice di procedura civile per la prosecuzione del giudizio.</w:t>
      </w:r>
    </w:p>
    <w:p w14:paraId="26274DEE"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L'articolo 665 del Codice di procedura civile prevede infatti che «se l'intimato comparisce e oppone eccezioni non fondate su prova scritta, il giudice, su istanza del locatore, se non sussistono gravi motivi in contrario, </w:t>
      </w:r>
      <w:r>
        <w:rPr>
          <w:rFonts w:ascii="Georgia" w:hAnsi="Georgia"/>
          <w:b/>
          <w:bCs/>
          <w:color w:val="1A171B"/>
          <w:sz w:val="27"/>
          <w:szCs w:val="27"/>
        </w:rPr>
        <w:t>pronuncia ordinanza non impugnabile</w:t>
      </w:r>
      <w:r>
        <w:rPr>
          <w:rFonts w:ascii="Georgia" w:hAnsi="Georgia"/>
          <w:color w:val="1A171B"/>
          <w:sz w:val="27"/>
          <w:szCs w:val="27"/>
        </w:rPr>
        <w:t> di rilascio, con riserva delle eccezioni del convenuto. L'ordinanza è immediatamente esecutiva…».</w:t>
      </w:r>
    </w:p>
    <w:p w14:paraId="4CE57150"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lastRenderedPageBreak/>
        <w:t>La decisione</w:t>
      </w:r>
      <w:r>
        <w:rPr>
          <w:rFonts w:ascii="Georgia" w:hAnsi="Georgia"/>
          <w:color w:val="1A171B"/>
          <w:sz w:val="27"/>
          <w:szCs w:val="27"/>
        </w:rPr>
        <w:br/>
        <w:t xml:space="preserve">Il Tribunale milanese cessata l'udienza di convalida – a </w:t>
      </w:r>
      <w:proofErr w:type="spellStart"/>
      <w:r>
        <w:rPr>
          <w:rFonts w:ascii="Georgia" w:hAnsi="Georgia"/>
          <w:color w:val="1A171B"/>
          <w:sz w:val="27"/>
          <w:szCs w:val="27"/>
        </w:rPr>
        <w:t>sèguito</w:t>
      </w:r>
      <w:proofErr w:type="spellEnd"/>
      <w:r>
        <w:rPr>
          <w:rFonts w:ascii="Georgia" w:hAnsi="Georgia"/>
          <w:color w:val="1A171B"/>
          <w:sz w:val="27"/>
          <w:szCs w:val="27"/>
        </w:rPr>
        <w:t xml:space="preserve"> della conversione del rito - ha disposto di procedere con la mediazione obbligatoria a norma dell'articolo 5 comma 1 bis del Dlgs 28/2010. Se non che, </w:t>
      </w:r>
      <w:r>
        <w:rPr>
          <w:rFonts w:ascii="Georgia" w:hAnsi="Georgia"/>
          <w:b/>
          <w:bCs/>
          <w:color w:val="1A171B"/>
          <w:sz w:val="27"/>
          <w:szCs w:val="27"/>
        </w:rPr>
        <w:t>nessuna delle due parti (locatore/conduttore) ha provveduto ad avviare il procedimento di mediazione</w:t>
      </w:r>
      <w:r>
        <w:rPr>
          <w:rFonts w:ascii="Georgia" w:hAnsi="Georgia"/>
          <w:color w:val="1A171B"/>
          <w:sz w:val="27"/>
          <w:szCs w:val="27"/>
        </w:rPr>
        <w:t> con conseguente improcedibilità dell'azione (e del giudizio). Si tratta dunque di capire quali possano essere gli effetti della declaratoria di improcedibilità dell'azione sull'ordinanza di rilascio (ed in particolare sulla sua efficacia).</w:t>
      </w:r>
    </w:p>
    <w:p w14:paraId="1938D957"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Sul tema, il Tribunale di Milano nella sentenza 5466/2020, ha chiarito che l'ordinanza provvisoria di rilascio - </w:t>
      </w:r>
      <w:r>
        <w:rPr>
          <w:rFonts w:ascii="Georgia" w:hAnsi="Georgia"/>
          <w:b/>
          <w:bCs/>
          <w:color w:val="1A171B"/>
          <w:sz w:val="27"/>
          <w:szCs w:val="27"/>
        </w:rPr>
        <w:t>ancorché non acquisisca autorità di giudicato </w:t>
      </w:r>
      <w:r>
        <w:rPr>
          <w:rFonts w:ascii="Georgia" w:hAnsi="Georgia"/>
          <w:color w:val="1A171B"/>
          <w:sz w:val="27"/>
          <w:szCs w:val="27"/>
        </w:rPr>
        <w:t>in ordine al diritto fatto valere dal locatore - deve essere qualificata come provvedimento di condanna con riserva delle eccezioni del convenuto ed ha natura di provvedimento sostanziale provvisorio i cui effetti, afferenti alla cessazione della locazione e conseguentemente al </w:t>
      </w:r>
      <w:r>
        <w:rPr>
          <w:rFonts w:ascii="Georgia" w:hAnsi="Georgia"/>
          <w:b/>
          <w:bCs/>
          <w:color w:val="1A171B"/>
          <w:sz w:val="27"/>
          <w:szCs w:val="27"/>
        </w:rPr>
        <w:t>diritto al rilascio dell'immobile </w:t>
      </w:r>
      <w:r>
        <w:rPr>
          <w:rFonts w:ascii="Georgia" w:hAnsi="Georgia"/>
          <w:color w:val="1A171B"/>
          <w:sz w:val="27"/>
          <w:szCs w:val="27"/>
        </w:rPr>
        <w:t>attuabile in via esecutiva, permangono fino a quando, non siano eventualmente annullati dalla sentenza di merito che conclude il giudizio di cognizione (Cassazione 1382/1997 e Cassazione 3730/1995).</w:t>
      </w:r>
    </w:p>
    <w:p w14:paraId="34F698D3"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L’esecutività dell’ordinanza di rilascio</w:t>
      </w:r>
      <w:r>
        <w:rPr>
          <w:rFonts w:ascii="Georgia" w:hAnsi="Georgia"/>
          <w:color w:val="1A171B"/>
          <w:sz w:val="27"/>
          <w:szCs w:val="27"/>
        </w:rPr>
        <w:br/>
        <w:t>Sul tema si veda anche la sentenza della Cassazione 4319/1991 secondo cui l'ordinanza di rilascio «</w:t>
      </w:r>
      <w:r>
        <w:rPr>
          <w:rFonts w:ascii="Georgia" w:hAnsi="Georgia"/>
          <w:b/>
          <w:bCs/>
          <w:color w:val="1A171B"/>
          <w:sz w:val="27"/>
          <w:szCs w:val="27"/>
        </w:rPr>
        <w:t>costituisce un provvedimento che la legge espressamente dichiara esecutivo </w:t>
      </w:r>
      <w:r>
        <w:rPr>
          <w:rFonts w:ascii="Georgia" w:hAnsi="Georgia"/>
          <w:color w:val="1A171B"/>
          <w:sz w:val="27"/>
          <w:szCs w:val="27"/>
        </w:rPr>
        <w:t>e non impugnabile; connotati questi che dimostrano come il provvedimento sia destinato ad operare anche fuori del processo, come titolo esecutivo, e non sia suscettibile di modifica o di revoca,</w:t>
      </w:r>
      <w:r>
        <w:rPr>
          <w:rFonts w:ascii="Georgia" w:hAnsi="Georgia"/>
          <w:b/>
          <w:bCs/>
          <w:color w:val="1A171B"/>
          <w:sz w:val="27"/>
          <w:szCs w:val="27"/>
        </w:rPr>
        <w:t> fermo restando la possibilità</w:t>
      </w:r>
      <w:r>
        <w:rPr>
          <w:rFonts w:ascii="Georgia" w:hAnsi="Georgia"/>
          <w:color w:val="1A171B"/>
          <w:sz w:val="27"/>
          <w:szCs w:val="27"/>
        </w:rPr>
        <w:t> che resti travolto dalla sentenza di merito ove favorevole all'intimato convenuto (cioè all'inquilino .)».</w:t>
      </w:r>
    </w:p>
    <w:p w14:paraId="7351B5A9"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La Corte di Cassazione nelle richiamate pronunce si è occupata della sopravvivenza degli effetti dell'ordinanza provvisoria di rilascio nel caso di estinzione del successivo processo di cognizione </w:t>
      </w:r>
      <w:r>
        <w:rPr>
          <w:rFonts w:ascii="Georgia" w:hAnsi="Georgia"/>
          <w:b/>
          <w:bCs/>
          <w:color w:val="1A171B"/>
          <w:sz w:val="27"/>
          <w:szCs w:val="27"/>
        </w:rPr>
        <w:t>giungendo ad affermare il principio della conservazione </w:t>
      </w:r>
      <w:r>
        <w:rPr>
          <w:rFonts w:ascii="Georgia" w:hAnsi="Georgia"/>
          <w:color w:val="1A171B"/>
          <w:sz w:val="27"/>
          <w:szCs w:val="27"/>
        </w:rPr>
        <w:t>dell'efficacia del titolo esecutivo costituito dall'ordinanza mentre resta onere dell'intimato iniziare un nuovo giudizio per dimostrare l'infondatezza della pretesa del locatore e far perdere </w:t>
      </w:r>
      <w:r>
        <w:rPr>
          <w:rFonts w:ascii="Georgia" w:hAnsi="Georgia"/>
          <w:b/>
          <w:bCs/>
          <w:color w:val="1A171B"/>
          <w:sz w:val="27"/>
          <w:szCs w:val="27"/>
        </w:rPr>
        <w:t>il “valore” di titolo esecutivo </w:t>
      </w:r>
      <w:r>
        <w:rPr>
          <w:rFonts w:ascii="Georgia" w:hAnsi="Georgia"/>
          <w:color w:val="1A171B"/>
          <w:sz w:val="27"/>
          <w:szCs w:val="27"/>
        </w:rPr>
        <w:t>al predetto provvedimento (Cassazione 1382/1997; Cassazione 3730/1995; Cassazione 4319/1991; Cassazione 8613/1990 e Cassazione 2619/1990).</w:t>
      </w:r>
    </w:p>
    <w:p w14:paraId="20B2FA86"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Il ragionamento del tribunale milanese</w:t>
      </w:r>
      <w:r>
        <w:rPr>
          <w:rFonts w:ascii="Georgia" w:hAnsi="Georgia"/>
          <w:color w:val="1A171B"/>
          <w:sz w:val="27"/>
          <w:szCs w:val="27"/>
        </w:rPr>
        <w:br/>
        <w:t>Quest'ultimo orientamento è stato condiviso dal Tribunale di Milano. Ed infatti, per il Tribunale milanese - quando l'azione viene dichiarata improcedibile per mancato esperimento della procedura di mediazione obbligatoria (come capita anche nel caso di estinzione del processo) - il giudizio perviene alla sua conclusione con una pronuncia di diritto che </w:t>
      </w:r>
      <w:r>
        <w:rPr>
          <w:rFonts w:ascii="Georgia" w:hAnsi="Georgia"/>
          <w:b/>
          <w:bCs/>
          <w:color w:val="1A171B"/>
          <w:sz w:val="27"/>
          <w:szCs w:val="27"/>
        </w:rPr>
        <w:t>come tale non è adatta a far perdere l'efficacia esecutiva all'ordinanza </w:t>
      </w:r>
      <w:r>
        <w:rPr>
          <w:rFonts w:ascii="Georgia" w:hAnsi="Georgia"/>
          <w:color w:val="1A171B"/>
          <w:sz w:val="27"/>
          <w:szCs w:val="27"/>
        </w:rPr>
        <w:t xml:space="preserve">provvisoria di rilascio emessa a </w:t>
      </w:r>
      <w:r>
        <w:rPr>
          <w:rFonts w:ascii="Georgia" w:hAnsi="Georgia"/>
          <w:color w:val="1A171B"/>
          <w:sz w:val="27"/>
          <w:szCs w:val="27"/>
        </w:rPr>
        <w:lastRenderedPageBreak/>
        <w:t>norma dell'articolo 665 del Codice di procedura civile. Conseguentemente in caso di estinzione del processo sopravvivono gli effetti esecutivi dell'ordinanza. </w:t>
      </w:r>
      <w:r>
        <w:rPr>
          <w:rFonts w:ascii="Georgia" w:hAnsi="Georgia"/>
          <w:b/>
          <w:bCs/>
          <w:color w:val="1A171B"/>
          <w:sz w:val="27"/>
          <w:szCs w:val="27"/>
        </w:rPr>
        <w:t>Spetta al convenuto intimato </w:t>
      </w:r>
      <w:r>
        <w:rPr>
          <w:rFonts w:ascii="Georgia" w:hAnsi="Georgia"/>
          <w:color w:val="1A171B"/>
          <w:sz w:val="27"/>
          <w:szCs w:val="27"/>
        </w:rPr>
        <w:t>dar corso ad un nuovo ed eventuale giudizio per dimostrare l'infondatezza della pretesa del locatore.</w:t>
      </w:r>
    </w:p>
    <w:p w14:paraId="0D41B056" w14:textId="77777777" w:rsidR="0084088A" w:rsidRDefault="0084088A" w:rsidP="0084088A">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Si aggiunga che nella fase antecedente al mutamento del rito l'intimante non ha l'obbligo di avviare preventivamente la mediazione, sicché sarebbe contrario all'intento deflattivo - che ha una finalità anche perseguita dalla mediazione - porre a carico dell'intimante </w:t>
      </w:r>
      <w:r>
        <w:rPr>
          <w:rFonts w:ascii="Georgia" w:hAnsi="Georgia"/>
          <w:b/>
          <w:bCs/>
          <w:color w:val="1A171B"/>
          <w:sz w:val="27"/>
          <w:szCs w:val="27"/>
        </w:rPr>
        <w:t>l'onere di avviare la mediazione obbligatoria </w:t>
      </w:r>
      <w:r>
        <w:rPr>
          <w:rFonts w:ascii="Georgia" w:hAnsi="Georgia"/>
          <w:color w:val="1A171B"/>
          <w:sz w:val="27"/>
          <w:szCs w:val="27"/>
        </w:rPr>
        <w:t xml:space="preserve">oltre che sulle domande di risoluzione del contratto di locazione ex articolo 1453 del Codice civile e sulle domande di condanna di pagamento dei canoni degli oneri accessori, anche sull'istanza di conferma dell'ordinanza provvisoria di </w:t>
      </w:r>
      <w:proofErr w:type="spellStart"/>
      <w:r>
        <w:rPr>
          <w:rFonts w:ascii="Georgia" w:hAnsi="Georgia"/>
          <w:color w:val="1A171B"/>
          <w:sz w:val="27"/>
          <w:szCs w:val="27"/>
        </w:rPr>
        <w:t>rilascio.In</w:t>
      </w:r>
      <w:proofErr w:type="spellEnd"/>
      <w:r>
        <w:rPr>
          <w:rFonts w:ascii="Georgia" w:hAnsi="Georgia"/>
          <w:color w:val="1A171B"/>
          <w:sz w:val="27"/>
          <w:szCs w:val="27"/>
        </w:rPr>
        <w:t xml:space="preserve"> conclusione </w:t>
      </w:r>
      <w:r>
        <w:rPr>
          <w:rFonts w:ascii="Georgia" w:hAnsi="Georgia"/>
          <w:b/>
          <w:bCs/>
          <w:color w:val="1A171B"/>
          <w:sz w:val="27"/>
          <w:szCs w:val="27"/>
        </w:rPr>
        <w:t>rimane a carico dell'intimata opponente l'effetto della scelta</w:t>
      </w:r>
      <w:r>
        <w:rPr>
          <w:rFonts w:ascii="Georgia" w:hAnsi="Georgia"/>
          <w:color w:val="1A171B"/>
          <w:sz w:val="27"/>
          <w:szCs w:val="27"/>
        </w:rPr>
        <w:t> di non aver avviato la mediazione per coltivare la propria azione anche al fine della revoca dell'ordinanza provvisoria di rilascio.</w:t>
      </w:r>
    </w:p>
    <w:p w14:paraId="119BC391" w14:textId="7BF16B71" w:rsidR="00BD7D10" w:rsidRDefault="00BD7D10" w:rsidP="00BD7D10">
      <w:pPr>
        <w:pStyle w:val="dj-para-r1"/>
        <w:shd w:val="clear" w:color="auto" w:fill="FFFFFF"/>
        <w:spacing w:before="0" w:beforeAutospacing="0" w:after="0" w:afterAutospacing="0"/>
        <w:jc w:val="both"/>
        <w:rPr>
          <w:rFonts w:ascii="Arial" w:hAnsi="Arial" w:cs="Arial"/>
          <w:b/>
          <w:bCs/>
        </w:rPr>
      </w:pPr>
    </w:p>
    <w:sectPr w:rsidR="00BD7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A922" w14:textId="77777777" w:rsidR="006A7CE8" w:rsidRDefault="006A7CE8" w:rsidP="006A7CE8">
      <w:pPr>
        <w:spacing w:after="0" w:line="240" w:lineRule="auto"/>
      </w:pPr>
      <w:r>
        <w:separator/>
      </w:r>
    </w:p>
  </w:endnote>
  <w:endnote w:type="continuationSeparator" w:id="0">
    <w:p w14:paraId="3E1E58A6" w14:textId="77777777" w:rsidR="006A7CE8" w:rsidRDefault="006A7CE8" w:rsidP="006A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9CB0" w14:textId="77777777" w:rsidR="006A7CE8" w:rsidRDefault="006A7CE8" w:rsidP="006A7CE8">
      <w:pPr>
        <w:spacing w:after="0" w:line="240" w:lineRule="auto"/>
      </w:pPr>
      <w:r>
        <w:separator/>
      </w:r>
    </w:p>
  </w:footnote>
  <w:footnote w:type="continuationSeparator" w:id="0">
    <w:p w14:paraId="68E31845" w14:textId="77777777" w:rsidR="006A7CE8" w:rsidRDefault="006A7CE8" w:rsidP="006A7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64154"/>
    <w:multiLevelType w:val="multilevel"/>
    <w:tmpl w:val="CDA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75"/>
    <w:rsid w:val="0000172A"/>
    <w:rsid w:val="00002E1D"/>
    <w:rsid w:val="00006B9D"/>
    <w:rsid w:val="000103A0"/>
    <w:rsid w:val="00016DB9"/>
    <w:rsid w:val="00030DBB"/>
    <w:rsid w:val="00031C7D"/>
    <w:rsid w:val="00040CE5"/>
    <w:rsid w:val="00043E20"/>
    <w:rsid w:val="0004456C"/>
    <w:rsid w:val="0006329F"/>
    <w:rsid w:val="0007484A"/>
    <w:rsid w:val="00080278"/>
    <w:rsid w:val="000862A9"/>
    <w:rsid w:val="0008682A"/>
    <w:rsid w:val="00092CD8"/>
    <w:rsid w:val="000946FB"/>
    <w:rsid w:val="000A270D"/>
    <w:rsid w:val="000A5B1F"/>
    <w:rsid w:val="000B0C61"/>
    <w:rsid w:val="000C2492"/>
    <w:rsid w:val="000C6DAA"/>
    <w:rsid w:val="000D171C"/>
    <w:rsid w:val="000E01F0"/>
    <w:rsid w:val="000E1BC9"/>
    <w:rsid w:val="000F0DF2"/>
    <w:rsid w:val="000F5D65"/>
    <w:rsid w:val="000F7F13"/>
    <w:rsid w:val="00101B3F"/>
    <w:rsid w:val="00105EB7"/>
    <w:rsid w:val="00125797"/>
    <w:rsid w:val="00134679"/>
    <w:rsid w:val="001453D5"/>
    <w:rsid w:val="00145D58"/>
    <w:rsid w:val="00147D7C"/>
    <w:rsid w:val="00154267"/>
    <w:rsid w:val="00165015"/>
    <w:rsid w:val="001708C6"/>
    <w:rsid w:val="0019027E"/>
    <w:rsid w:val="00195097"/>
    <w:rsid w:val="001A3E18"/>
    <w:rsid w:val="001B2529"/>
    <w:rsid w:val="001B3940"/>
    <w:rsid w:val="001D788B"/>
    <w:rsid w:val="001E4CF7"/>
    <w:rsid w:val="001E73A2"/>
    <w:rsid w:val="001F0199"/>
    <w:rsid w:val="001F0606"/>
    <w:rsid w:val="001F14D2"/>
    <w:rsid w:val="001F62C7"/>
    <w:rsid w:val="00201736"/>
    <w:rsid w:val="00206DD4"/>
    <w:rsid w:val="00215A19"/>
    <w:rsid w:val="00215E33"/>
    <w:rsid w:val="00216F4C"/>
    <w:rsid w:val="00220F8B"/>
    <w:rsid w:val="00233CEC"/>
    <w:rsid w:val="0023520B"/>
    <w:rsid w:val="00236126"/>
    <w:rsid w:val="002406A5"/>
    <w:rsid w:val="0026217C"/>
    <w:rsid w:val="0026394E"/>
    <w:rsid w:val="00267877"/>
    <w:rsid w:val="00272F07"/>
    <w:rsid w:val="00282013"/>
    <w:rsid w:val="00290D82"/>
    <w:rsid w:val="00293271"/>
    <w:rsid w:val="00295AA4"/>
    <w:rsid w:val="00295CDD"/>
    <w:rsid w:val="002A7DA5"/>
    <w:rsid w:val="002C0304"/>
    <w:rsid w:val="002C2859"/>
    <w:rsid w:val="002C37DA"/>
    <w:rsid w:val="002E1157"/>
    <w:rsid w:val="002E1EE6"/>
    <w:rsid w:val="002E4CC9"/>
    <w:rsid w:val="002E533B"/>
    <w:rsid w:val="002E7B8A"/>
    <w:rsid w:val="002F52F8"/>
    <w:rsid w:val="00301D24"/>
    <w:rsid w:val="003103C4"/>
    <w:rsid w:val="00311E36"/>
    <w:rsid w:val="003147A8"/>
    <w:rsid w:val="00323031"/>
    <w:rsid w:val="00330F3D"/>
    <w:rsid w:val="00335298"/>
    <w:rsid w:val="003359E6"/>
    <w:rsid w:val="0034606E"/>
    <w:rsid w:val="00346B37"/>
    <w:rsid w:val="00347D70"/>
    <w:rsid w:val="003703DE"/>
    <w:rsid w:val="00371B7F"/>
    <w:rsid w:val="00373FF8"/>
    <w:rsid w:val="003742CB"/>
    <w:rsid w:val="0037748D"/>
    <w:rsid w:val="00383784"/>
    <w:rsid w:val="00385064"/>
    <w:rsid w:val="00387AFD"/>
    <w:rsid w:val="003A2117"/>
    <w:rsid w:val="003A4EA5"/>
    <w:rsid w:val="003A7F1D"/>
    <w:rsid w:val="003B08A7"/>
    <w:rsid w:val="003B7A4C"/>
    <w:rsid w:val="003C0F6A"/>
    <w:rsid w:val="003D0675"/>
    <w:rsid w:val="003E373D"/>
    <w:rsid w:val="003F3460"/>
    <w:rsid w:val="003F4A6D"/>
    <w:rsid w:val="004053EE"/>
    <w:rsid w:val="004057A0"/>
    <w:rsid w:val="00425185"/>
    <w:rsid w:val="00430189"/>
    <w:rsid w:val="004454DC"/>
    <w:rsid w:val="00460C2E"/>
    <w:rsid w:val="004652F8"/>
    <w:rsid w:val="0046602C"/>
    <w:rsid w:val="004703CC"/>
    <w:rsid w:val="0047348E"/>
    <w:rsid w:val="0047601F"/>
    <w:rsid w:val="00496C52"/>
    <w:rsid w:val="004A1F75"/>
    <w:rsid w:val="004A3A8C"/>
    <w:rsid w:val="004A3B38"/>
    <w:rsid w:val="004B31F4"/>
    <w:rsid w:val="004B5778"/>
    <w:rsid w:val="004C1BE2"/>
    <w:rsid w:val="004C2C0C"/>
    <w:rsid w:val="004C57CD"/>
    <w:rsid w:val="004E5B9A"/>
    <w:rsid w:val="004F0D5E"/>
    <w:rsid w:val="004F3038"/>
    <w:rsid w:val="004F6AED"/>
    <w:rsid w:val="00512CAF"/>
    <w:rsid w:val="005139A5"/>
    <w:rsid w:val="005140AA"/>
    <w:rsid w:val="00530BE3"/>
    <w:rsid w:val="005339AD"/>
    <w:rsid w:val="00536316"/>
    <w:rsid w:val="005501FC"/>
    <w:rsid w:val="00550C78"/>
    <w:rsid w:val="00554077"/>
    <w:rsid w:val="005558A0"/>
    <w:rsid w:val="005802AB"/>
    <w:rsid w:val="00580387"/>
    <w:rsid w:val="0058118D"/>
    <w:rsid w:val="005A6198"/>
    <w:rsid w:val="005B24D9"/>
    <w:rsid w:val="005C3927"/>
    <w:rsid w:val="005C5A9C"/>
    <w:rsid w:val="005D145F"/>
    <w:rsid w:val="005D38AA"/>
    <w:rsid w:val="005D6CBD"/>
    <w:rsid w:val="005D7C9F"/>
    <w:rsid w:val="005E38F3"/>
    <w:rsid w:val="005F7894"/>
    <w:rsid w:val="005F7BF9"/>
    <w:rsid w:val="0060214F"/>
    <w:rsid w:val="0060220C"/>
    <w:rsid w:val="00602410"/>
    <w:rsid w:val="00602557"/>
    <w:rsid w:val="00622309"/>
    <w:rsid w:val="0062545E"/>
    <w:rsid w:val="00652E82"/>
    <w:rsid w:val="00652EE9"/>
    <w:rsid w:val="006545EE"/>
    <w:rsid w:val="0065500B"/>
    <w:rsid w:val="0065728A"/>
    <w:rsid w:val="00663567"/>
    <w:rsid w:val="006649A3"/>
    <w:rsid w:val="00671BB4"/>
    <w:rsid w:val="00672271"/>
    <w:rsid w:val="00683229"/>
    <w:rsid w:val="00683374"/>
    <w:rsid w:val="006847B2"/>
    <w:rsid w:val="00686211"/>
    <w:rsid w:val="006A3CFD"/>
    <w:rsid w:val="006A50A9"/>
    <w:rsid w:val="006A7CE8"/>
    <w:rsid w:val="006B1B11"/>
    <w:rsid w:val="006B632C"/>
    <w:rsid w:val="006C2059"/>
    <w:rsid w:val="006C44F6"/>
    <w:rsid w:val="006C4C9E"/>
    <w:rsid w:val="006D333F"/>
    <w:rsid w:val="006E00FB"/>
    <w:rsid w:val="006E2AD2"/>
    <w:rsid w:val="006E2E13"/>
    <w:rsid w:val="006E4E0B"/>
    <w:rsid w:val="006F267B"/>
    <w:rsid w:val="007032D4"/>
    <w:rsid w:val="007058A0"/>
    <w:rsid w:val="00720196"/>
    <w:rsid w:val="00726FE6"/>
    <w:rsid w:val="007277A4"/>
    <w:rsid w:val="0073201F"/>
    <w:rsid w:val="007330F4"/>
    <w:rsid w:val="007442F5"/>
    <w:rsid w:val="00760A1B"/>
    <w:rsid w:val="007633C1"/>
    <w:rsid w:val="00771E54"/>
    <w:rsid w:val="0078615D"/>
    <w:rsid w:val="007958E2"/>
    <w:rsid w:val="007A4190"/>
    <w:rsid w:val="007B38D4"/>
    <w:rsid w:val="007C1DAD"/>
    <w:rsid w:val="007C2C29"/>
    <w:rsid w:val="007C7443"/>
    <w:rsid w:val="007D513C"/>
    <w:rsid w:val="007D6A31"/>
    <w:rsid w:val="007D7EA2"/>
    <w:rsid w:val="00822080"/>
    <w:rsid w:val="00824C2C"/>
    <w:rsid w:val="00831F7D"/>
    <w:rsid w:val="00834F8B"/>
    <w:rsid w:val="0084088A"/>
    <w:rsid w:val="00844754"/>
    <w:rsid w:val="00845163"/>
    <w:rsid w:val="00850898"/>
    <w:rsid w:val="0085276D"/>
    <w:rsid w:val="008528A8"/>
    <w:rsid w:val="00862871"/>
    <w:rsid w:val="00871BAC"/>
    <w:rsid w:val="008817C4"/>
    <w:rsid w:val="0088266C"/>
    <w:rsid w:val="00891E34"/>
    <w:rsid w:val="00893411"/>
    <w:rsid w:val="00893C37"/>
    <w:rsid w:val="00897F52"/>
    <w:rsid w:val="008A396C"/>
    <w:rsid w:val="008D05F6"/>
    <w:rsid w:val="008E26D8"/>
    <w:rsid w:val="008F0C42"/>
    <w:rsid w:val="008F4ABC"/>
    <w:rsid w:val="00925841"/>
    <w:rsid w:val="0093201D"/>
    <w:rsid w:val="00935B9C"/>
    <w:rsid w:val="0095113B"/>
    <w:rsid w:val="00956A7D"/>
    <w:rsid w:val="009656B4"/>
    <w:rsid w:val="009907D3"/>
    <w:rsid w:val="00994A1E"/>
    <w:rsid w:val="009958D4"/>
    <w:rsid w:val="009A542C"/>
    <w:rsid w:val="009B05CA"/>
    <w:rsid w:val="009B0F51"/>
    <w:rsid w:val="009C09C0"/>
    <w:rsid w:val="009C0A94"/>
    <w:rsid w:val="009E0A13"/>
    <w:rsid w:val="009E0AA2"/>
    <w:rsid w:val="009E260D"/>
    <w:rsid w:val="009E45C5"/>
    <w:rsid w:val="009F69B3"/>
    <w:rsid w:val="00A10D1F"/>
    <w:rsid w:val="00A16590"/>
    <w:rsid w:val="00A219F2"/>
    <w:rsid w:val="00A23CC9"/>
    <w:rsid w:val="00A306C5"/>
    <w:rsid w:val="00A318EA"/>
    <w:rsid w:val="00A34817"/>
    <w:rsid w:val="00A357FA"/>
    <w:rsid w:val="00A37C80"/>
    <w:rsid w:val="00A45F0B"/>
    <w:rsid w:val="00A47AD5"/>
    <w:rsid w:val="00A72E02"/>
    <w:rsid w:val="00A84D4C"/>
    <w:rsid w:val="00A9461A"/>
    <w:rsid w:val="00AA4BBC"/>
    <w:rsid w:val="00AC2353"/>
    <w:rsid w:val="00AF04F2"/>
    <w:rsid w:val="00AF60E8"/>
    <w:rsid w:val="00B103C4"/>
    <w:rsid w:val="00B2115E"/>
    <w:rsid w:val="00B2156B"/>
    <w:rsid w:val="00B425C0"/>
    <w:rsid w:val="00B42A30"/>
    <w:rsid w:val="00B44E1A"/>
    <w:rsid w:val="00B47F36"/>
    <w:rsid w:val="00B52A47"/>
    <w:rsid w:val="00B673DB"/>
    <w:rsid w:val="00B727C0"/>
    <w:rsid w:val="00B805D6"/>
    <w:rsid w:val="00B807CC"/>
    <w:rsid w:val="00B8099B"/>
    <w:rsid w:val="00B827B5"/>
    <w:rsid w:val="00B96B77"/>
    <w:rsid w:val="00BA50B4"/>
    <w:rsid w:val="00BA6260"/>
    <w:rsid w:val="00BB5223"/>
    <w:rsid w:val="00BB7969"/>
    <w:rsid w:val="00BC11C5"/>
    <w:rsid w:val="00BD1788"/>
    <w:rsid w:val="00BD29EF"/>
    <w:rsid w:val="00BD593E"/>
    <w:rsid w:val="00BD7D10"/>
    <w:rsid w:val="00BF64BC"/>
    <w:rsid w:val="00BF65A8"/>
    <w:rsid w:val="00C00C91"/>
    <w:rsid w:val="00C02448"/>
    <w:rsid w:val="00C13939"/>
    <w:rsid w:val="00C22101"/>
    <w:rsid w:val="00C2765F"/>
    <w:rsid w:val="00C27C7A"/>
    <w:rsid w:val="00C3418C"/>
    <w:rsid w:val="00C40AD0"/>
    <w:rsid w:val="00C473A2"/>
    <w:rsid w:val="00C47C74"/>
    <w:rsid w:val="00C53FBD"/>
    <w:rsid w:val="00C61E52"/>
    <w:rsid w:val="00C7267A"/>
    <w:rsid w:val="00C73284"/>
    <w:rsid w:val="00C76260"/>
    <w:rsid w:val="00C776F9"/>
    <w:rsid w:val="00C92478"/>
    <w:rsid w:val="00C9637E"/>
    <w:rsid w:val="00CA043B"/>
    <w:rsid w:val="00CA0D99"/>
    <w:rsid w:val="00CA0FF6"/>
    <w:rsid w:val="00CA1775"/>
    <w:rsid w:val="00CC4590"/>
    <w:rsid w:val="00CD0014"/>
    <w:rsid w:val="00CD503F"/>
    <w:rsid w:val="00CD6E8E"/>
    <w:rsid w:val="00CE638E"/>
    <w:rsid w:val="00CF1FF4"/>
    <w:rsid w:val="00CF47A3"/>
    <w:rsid w:val="00CF502A"/>
    <w:rsid w:val="00D006E1"/>
    <w:rsid w:val="00D132A8"/>
    <w:rsid w:val="00D16A1F"/>
    <w:rsid w:val="00D3191A"/>
    <w:rsid w:val="00D47FDE"/>
    <w:rsid w:val="00D504A2"/>
    <w:rsid w:val="00D51EAC"/>
    <w:rsid w:val="00D60B04"/>
    <w:rsid w:val="00D627E9"/>
    <w:rsid w:val="00D6379D"/>
    <w:rsid w:val="00D71345"/>
    <w:rsid w:val="00D82963"/>
    <w:rsid w:val="00D832D7"/>
    <w:rsid w:val="00D854FE"/>
    <w:rsid w:val="00D86130"/>
    <w:rsid w:val="00D92B8C"/>
    <w:rsid w:val="00DC7AAC"/>
    <w:rsid w:val="00DC7CDA"/>
    <w:rsid w:val="00DE3975"/>
    <w:rsid w:val="00DE40BC"/>
    <w:rsid w:val="00DF285F"/>
    <w:rsid w:val="00DF5280"/>
    <w:rsid w:val="00DF7FD5"/>
    <w:rsid w:val="00E07C26"/>
    <w:rsid w:val="00E109E6"/>
    <w:rsid w:val="00E14D87"/>
    <w:rsid w:val="00E2621B"/>
    <w:rsid w:val="00E32CB1"/>
    <w:rsid w:val="00E46270"/>
    <w:rsid w:val="00E53366"/>
    <w:rsid w:val="00E53F7E"/>
    <w:rsid w:val="00E62F62"/>
    <w:rsid w:val="00E658F1"/>
    <w:rsid w:val="00E71212"/>
    <w:rsid w:val="00E83540"/>
    <w:rsid w:val="00E8460B"/>
    <w:rsid w:val="00E96D00"/>
    <w:rsid w:val="00EA13C9"/>
    <w:rsid w:val="00EB1DA7"/>
    <w:rsid w:val="00EB244C"/>
    <w:rsid w:val="00EB631D"/>
    <w:rsid w:val="00EC246B"/>
    <w:rsid w:val="00EC2678"/>
    <w:rsid w:val="00EC29B5"/>
    <w:rsid w:val="00EC2A89"/>
    <w:rsid w:val="00EC5D79"/>
    <w:rsid w:val="00EC5F52"/>
    <w:rsid w:val="00EE5053"/>
    <w:rsid w:val="00EF16DA"/>
    <w:rsid w:val="00EF1ECC"/>
    <w:rsid w:val="00F03260"/>
    <w:rsid w:val="00F21073"/>
    <w:rsid w:val="00F248C1"/>
    <w:rsid w:val="00F33039"/>
    <w:rsid w:val="00F33F49"/>
    <w:rsid w:val="00F363BC"/>
    <w:rsid w:val="00F43ED8"/>
    <w:rsid w:val="00F57547"/>
    <w:rsid w:val="00F66DAE"/>
    <w:rsid w:val="00FA4D44"/>
    <w:rsid w:val="00FB018C"/>
    <w:rsid w:val="00FB431A"/>
    <w:rsid w:val="00FB6DFA"/>
    <w:rsid w:val="00FC0F72"/>
    <w:rsid w:val="00FC1AB7"/>
    <w:rsid w:val="00FC6C97"/>
    <w:rsid w:val="00FC7899"/>
    <w:rsid w:val="00FE51D6"/>
    <w:rsid w:val="00FF1686"/>
    <w:rsid w:val="00FF2EC3"/>
    <w:rsid w:val="00FF4275"/>
    <w:rsid w:val="00FF6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E3F7"/>
  <w15:chartTrackingRefBased/>
  <w15:docId w15:val="{72681F8A-5117-4B11-8956-DFB6B932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40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7A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AD5"/>
    <w:rPr>
      <w:rFonts w:ascii="Segoe UI" w:hAnsi="Segoe UI" w:cs="Segoe UI"/>
      <w:sz w:val="18"/>
      <w:szCs w:val="18"/>
    </w:rPr>
  </w:style>
  <w:style w:type="paragraph" w:styleId="NormaleWeb">
    <w:name w:val="Normal (Web)"/>
    <w:basedOn w:val="Normale"/>
    <w:uiPriority w:val="99"/>
    <w:unhideWhenUsed/>
    <w:rsid w:val="00002E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nt-intestazione">
    <w:name w:val="sent-intestazione"/>
    <w:basedOn w:val="Carpredefinitoparagrafo"/>
    <w:rsid w:val="00002E1D"/>
  </w:style>
  <w:style w:type="character" w:customStyle="1" w:styleId="ng-binding">
    <w:name w:val="ng-binding"/>
    <w:basedOn w:val="Carpredefinitoparagrafo"/>
    <w:rsid w:val="00002E1D"/>
  </w:style>
  <w:style w:type="character" w:styleId="Collegamentoipertestuale">
    <w:name w:val="Hyperlink"/>
    <w:basedOn w:val="Carpredefinitoparagrafo"/>
    <w:uiPriority w:val="99"/>
    <w:semiHidden/>
    <w:unhideWhenUsed/>
    <w:rsid w:val="00002E1D"/>
    <w:rPr>
      <w:color w:val="0000FF"/>
      <w:u w:val="single"/>
    </w:rPr>
  </w:style>
  <w:style w:type="paragraph" w:customStyle="1" w:styleId="box-item">
    <w:name w:val="box-item"/>
    <w:basedOn w:val="Normale"/>
    <w:rsid w:val="00002E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1">
    <w:name w:val="dj-para-r1"/>
    <w:basedOn w:val="Normale"/>
    <w:rsid w:val="00D832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2">
    <w:name w:val="dj-para-r2"/>
    <w:basedOn w:val="Normale"/>
    <w:rsid w:val="00D832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5139A5"/>
  </w:style>
  <w:style w:type="paragraph" w:styleId="Intestazione">
    <w:name w:val="header"/>
    <w:basedOn w:val="Normale"/>
    <w:link w:val="IntestazioneCarattere"/>
    <w:uiPriority w:val="99"/>
    <w:unhideWhenUsed/>
    <w:rsid w:val="006A7C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7CE8"/>
  </w:style>
  <w:style w:type="paragraph" w:styleId="Pidipagina">
    <w:name w:val="footer"/>
    <w:basedOn w:val="Normale"/>
    <w:link w:val="PidipaginaCarattere"/>
    <w:uiPriority w:val="99"/>
    <w:unhideWhenUsed/>
    <w:rsid w:val="006A7C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7CE8"/>
  </w:style>
  <w:style w:type="character" w:customStyle="1" w:styleId="Titolo1Carattere">
    <w:name w:val="Titolo 1 Carattere"/>
    <w:basedOn w:val="Carpredefinitoparagrafo"/>
    <w:link w:val="Titolo1"/>
    <w:uiPriority w:val="9"/>
    <w:rsid w:val="0084088A"/>
    <w:rPr>
      <w:rFonts w:ascii="Times New Roman" w:eastAsia="Times New Roman" w:hAnsi="Times New Roman" w:cs="Times New Roman"/>
      <w:b/>
      <w:bCs/>
      <w:kern w:val="36"/>
      <w:sz w:val="48"/>
      <w:szCs w:val="48"/>
      <w:lang w:eastAsia="it-IT"/>
    </w:rPr>
  </w:style>
  <w:style w:type="character" w:customStyle="1" w:styleId="autore">
    <w:name w:val="autore"/>
    <w:basedOn w:val="Carpredefinitoparagrafo"/>
    <w:rsid w:val="0084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1460">
      <w:bodyDiv w:val="1"/>
      <w:marLeft w:val="0"/>
      <w:marRight w:val="0"/>
      <w:marTop w:val="0"/>
      <w:marBottom w:val="0"/>
      <w:divBdr>
        <w:top w:val="none" w:sz="0" w:space="0" w:color="auto"/>
        <w:left w:val="none" w:sz="0" w:space="0" w:color="auto"/>
        <w:bottom w:val="none" w:sz="0" w:space="0" w:color="auto"/>
        <w:right w:val="none" w:sz="0" w:space="0" w:color="auto"/>
      </w:divBdr>
      <w:divsChild>
        <w:div w:id="713969319">
          <w:marLeft w:val="0"/>
          <w:marRight w:val="0"/>
          <w:marTop w:val="100"/>
          <w:marBottom w:val="100"/>
          <w:divBdr>
            <w:top w:val="none" w:sz="0" w:space="0" w:color="auto"/>
            <w:left w:val="none" w:sz="0" w:space="0" w:color="auto"/>
            <w:bottom w:val="none" w:sz="0" w:space="0" w:color="auto"/>
            <w:right w:val="none" w:sz="0" w:space="0" w:color="auto"/>
          </w:divBdr>
          <w:divsChild>
            <w:div w:id="990250275">
              <w:marLeft w:val="0"/>
              <w:marRight w:val="0"/>
              <w:marTop w:val="100"/>
              <w:marBottom w:val="100"/>
              <w:divBdr>
                <w:top w:val="none" w:sz="0" w:space="0" w:color="auto"/>
                <w:left w:val="none" w:sz="0" w:space="0" w:color="auto"/>
                <w:bottom w:val="none" w:sz="0" w:space="0" w:color="auto"/>
                <w:right w:val="none" w:sz="0" w:space="0" w:color="auto"/>
              </w:divBdr>
              <w:divsChild>
                <w:div w:id="1714649144">
                  <w:marLeft w:val="0"/>
                  <w:marRight w:val="0"/>
                  <w:marTop w:val="0"/>
                  <w:marBottom w:val="0"/>
                  <w:divBdr>
                    <w:top w:val="none" w:sz="0" w:space="0" w:color="auto"/>
                    <w:left w:val="none" w:sz="0" w:space="0" w:color="auto"/>
                    <w:bottom w:val="none" w:sz="0" w:space="0" w:color="auto"/>
                    <w:right w:val="none" w:sz="0" w:space="0" w:color="auto"/>
                  </w:divBdr>
                  <w:divsChild>
                    <w:div w:id="1405301880">
                      <w:marLeft w:val="0"/>
                      <w:marRight w:val="0"/>
                      <w:marTop w:val="0"/>
                      <w:marBottom w:val="0"/>
                      <w:divBdr>
                        <w:top w:val="none" w:sz="0" w:space="0" w:color="auto"/>
                        <w:left w:val="none" w:sz="0" w:space="0" w:color="auto"/>
                        <w:bottom w:val="none" w:sz="0" w:space="0" w:color="auto"/>
                        <w:right w:val="none" w:sz="0" w:space="0" w:color="auto"/>
                      </w:divBdr>
                      <w:divsChild>
                        <w:div w:id="1195340290">
                          <w:marLeft w:val="0"/>
                          <w:marRight w:val="0"/>
                          <w:marTop w:val="0"/>
                          <w:marBottom w:val="0"/>
                          <w:divBdr>
                            <w:top w:val="none" w:sz="0" w:space="0" w:color="auto"/>
                            <w:left w:val="none" w:sz="0" w:space="0" w:color="auto"/>
                            <w:bottom w:val="none" w:sz="0" w:space="0" w:color="auto"/>
                            <w:right w:val="none" w:sz="0" w:space="0" w:color="auto"/>
                          </w:divBdr>
                          <w:divsChild>
                            <w:div w:id="758329726">
                              <w:marLeft w:val="0"/>
                              <w:marRight w:val="0"/>
                              <w:marTop w:val="0"/>
                              <w:marBottom w:val="0"/>
                              <w:divBdr>
                                <w:top w:val="none" w:sz="0" w:space="0" w:color="auto"/>
                                <w:left w:val="none" w:sz="0" w:space="0" w:color="auto"/>
                                <w:bottom w:val="none" w:sz="0" w:space="0" w:color="auto"/>
                                <w:right w:val="none" w:sz="0" w:space="0" w:color="auto"/>
                              </w:divBdr>
                              <w:divsChild>
                                <w:div w:id="521406746">
                                  <w:marLeft w:val="0"/>
                                  <w:marRight w:val="0"/>
                                  <w:marTop w:val="0"/>
                                  <w:marBottom w:val="0"/>
                                  <w:divBdr>
                                    <w:top w:val="none" w:sz="0" w:space="0" w:color="auto"/>
                                    <w:left w:val="none" w:sz="0" w:space="0" w:color="auto"/>
                                    <w:bottom w:val="none" w:sz="0" w:space="0" w:color="auto"/>
                                    <w:right w:val="none" w:sz="0" w:space="0" w:color="auto"/>
                                  </w:divBdr>
                                  <w:divsChild>
                                    <w:div w:id="43163093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093549805">
                              <w:marLeft w:val="0"/>
                              <w:marRight w:val="0"/>
                              <w:marTop w:val="0"/>
                              <w:marBottom w:val="0"/>
                              <w:divBdr>
                                <w:top w:val="none" w:sz="0" w:space="0" w:color="auto"/>
                                <w:left w:val="none" w:sz="0" w:space="0" w:color="auto"/>
                                <w:bottom w:val="none" w:sz="0" w:space="0" w:color="auto"/>
                                <w:right w:val="none" w:sz="0" w:space="0" w:color="auto"/>
                              </w:divBdr>
                              <w:divsChild>
                                <w:div w:id="1991325064">
                                  <w:marLeft w:val="-315"/>
                                  <w:marRight w:val="-330"/>
                                  <w:marTop w:val="0"/>
                                  <w:marBottom w:val="0"/>
                                  <w:divBdr>
                                    <w:top w:val="none" w:sz="0" w:space="0" w:color="auto"/>
                                    <w:left w:val="none" w:sz="0" w:space="0" w:color="auto"/>
                                    <w:bottom w:val="none" w:sz="0" w:space="0" w:color="auto"/>
                                    <w:right w:val="none" w:sz="0" w:space="0" w:color="auto"/>
                                  </w:divBdr>
                                  <w:divsChild>
                                    <w:div w:id="1661498950">
                                      <w:marLeft w:val="0"/>
                                      <w:marRight w:val="0"/>
                                      <w:marTop w:val="0"/>
                                      <w:marBottom w:val="0"/>
                                      <w:divBdr>
                                        <w:top w:val="none" w:sz="0" w:space="0" w:color="auto"/>
                                        <w:left w:val="none" w:sz="0" w:space="0" w:color="auto"/>
                                        <w:bottom w:val="none" w:sz="0" w:space="0" w:color="auto"/>
                                        <w:right w:val="none" w:sz="0" w:space="0" w:color="auto"/>
                                      </w:divBdr>
                                      <w:divsChild>
                                        <w:div w:id="1488668222">
                                          <w:marLeft w:val="0"/>
                                          <w:marRight w:val="0"/>
                                          <w:marTop w:val="0"/>
                                          <w:marBottom w:val="0"/>
                                          <w:divBdr>
                                            <w:top w:val="none" w:sz="0" w:space="0" w:color="auto"/>
                                            <w:left w:val="none" w:sz="0" w:space="0" w:color="auto"/>
                                            <w:bottom w:val="none" w:sz="0" w:space="0" w:color="auto"/>
                                            <w:right w:val="none" w:sz="0" w:space="0" w:color="auto"/>
                                          </w:divBdr>
                                          <w:divsChild>
                                            <w:div w:id="157815246">
                                              <w:marLeft w:val="0"/>
                                              <w:marRight w:val="0"/>
                                              <w:marTop w:val="0"/>
                                              <w:marBottom w:val="0"/>
                                              <w:divBdr>
                                                <w:top w:val="none" w:sz="0" w:space="0" w:color="auto"/>
                                                <w:left w:val="none" w:sz="0" w:space="0" w:color="auto"/>
                                                <w:bottom w:val="none" w:sz="0" w:space="0" w:color="auto"/>
                                                <w:right w:val="none" w:sz="0" w:space="0" w:color="auto"/>
                                              </w:divBdr>
                                            </w:div>
                                            <w:div w:id="925721906">
                                              <w:marLeft w:val="0"/>
                                              <w:marRight w:val="0"/>
                                              <w:marTop w:val="0"/>
                                              <w:marBottom w:val="0"/>
                                              <w:divBdr>
                                                <w:top w:val="none" w:sz="0" w:space="0" w:color="auto"/>
                                                <w:left w:val="none" w:sz="0" w:space="0" w:color="auto"/>
                                                <w:bottom w:val="none" w:sz="0" w:space="0" w:color="auto"/>
                                                <w:right w:val="none" w:sz="0" w:space="0" w:color="auto"/>
                                              </w:divBdr>
                                              <w:divsChild>
                                                <w:div w:id="4024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9376">
                                      <w:marLeft w:val="0"/>
                                      <w:marRight w:val="0"/>
                                      <w:marTop w:val="0"/>
                                      <w:marBottom w:val="0"/>
                                      <w:divBdr>
                                        <w:top w:val="none" w:sz="0" w:space="0" w:color="auto"/>
                                        <w:left w:val="none" w:sz="0" w:space="0" w:color="auto"/>
                                        <w:bottom w:val="none" w:sz="0" w:space="0" w:color="auto"/>
                                        <w:right w:val="none" w:sz="0" w:space="0" w:color="auto"/>
                                      </w:divBdr>
                                      <w:divsChild>
                                        <w:div w:id="169948346">
                                          <w:marLeft w:val="0"/>
                                          <w:marRight w:val="0"/>
                                          <w:marTop w:val="0"/>
                                          <w:marBottom w:val="0"/>
                                          <w:divBdr>
                                            <w:top w:val="none" w:sz="0" w:space="0" w:color="auto"/>
                                            <w:left w:val="none" w:sz="0" w:space="0" w:color="auto"/>
                                            <w:bottom w:val="none" w:sz="0" w:space="0" w:color="auto"/>
                                            <w:right w:val="none" w:sz="0" w:space="0" w:color="auto"/>
                                          </w:divBdr>
                                          <w:divsChild>
                                            <w:div w:id="368455682">
                                              <w:marLeft w:val="0"/>
                                              <w:marRight w:val="0"/>
                                              <w:marTop w:val="0"/>
                                              <w:marBottom w:val="0"/>
                                              <w:divBdr>
                                                <w:top w:val="none" w:sz="0" w:space="0" w:color="auto"/>
                                                <w:left w:val="none" w:sz="0" w:space="0" w:color="auto"/>
                                                <w:bottom w:val="none" w:sz="0" w:space="0" w:color="auto"/>
                                                <w:right w:val="none" w:sz="0" w:space="0" w:color="auto"/>
                                              </w:divBdr>
                                              <w:divsChild>
                                                <w:div w:id="271592645">
                                                  <w:marLeft w:val="0"/>
                                                  <w:marRight w:val="0"/>
                                                  <w:marTop w:val="0"/>
                                                  <w:marBottom w:val="0"/>
                                                  <w:divBdr>
                                                    <w:top w:val="none" w:sz="0" w:space="0" w:color="auto"/>
                                                    <w:left w:val="none" w:sz="0" w:space="0" w:color="auto"/>
                                                    <w:bottom w:val="none" w:sz="0" w:space="0" w:color="auto"/>
                                                    <w:right w:val="none" w:sz="0" w:space="0" w:color="auto"/>
                                                  </w:divBdr>
                                                  <w:divsChild>
                                                    <w:div w:id="1154685964">
                                                      <w:marLeft w:val="0"/>
                                                      <w:marRight w:val="0"/>
                                                      <w:marTop w:val="600"/>
                                                      <w:marBottom w:val="300"/>
                                                      <w:divBdr>
                                                        <w:top w:val="none" w:sz="0" w:space="0" w:color="auto"/>
                                                        <w:left w:val="none" w:sz="0" w:space="0" w:color="auto"/>
                                                        <w:bottom w:val="none" w:sz="0" w:space="0" w:color="auto"/>
                                                        <w:right w:val="none" w:sz="0" w:space="0" w:color="auto"/>
                                                      </w:divBdr>
                                                    </w:div>
                                                  </w:divsChild>
                                                </w:div>
                                                <w:div w:id="1625841462">
                                                  <w:marLeft w:val="0"/>
                                                  <w:marRight w:val="0"/>
                                                  <w:marTop w:val="0"/>
                                                  <w:marBottom w:val="0"/>
                                                  <w:divBdr>
                                                    <w:top w:val="none" w:sz="0" w:space="0" w:color="auto"/>
                                                    <w:left w:val="none" w:sz="0" w:space="0" w:color="auto"/>
                                                    <w:bottom w:val="none" w:sz="0" w:space="0" w:color="auto"/>
                                                    <w:right w:val="none" w:sz="0" w:space="0" w:color="auto"/>
                                                  </w:divBdr>
                                                  <w:divsChild>
                                                    <w:div w:id="210726971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017315605">
                                              <w:marLeft w:val="0"/>
                                              <w:marRight w:val="0"/>
                                              <w:marTop w:val="0"/>
                                              <w:marBottom w:val="0"/>
                                              <w:divBdr>
                                                <w:top w:val="none" w:sz="0" w:space="0" w:color="auto"/>
                                                <w:left w:val="none" w:sz="0" w:space="0" w:color="auto"/>
                                                <w:bottom w:val="none" w:sz="0" w:space="0" w:color="auto"/>
                                                <w:right w:val="none" w:sz="0" w:space="0" w:color="auto"/>
                                              </w:divBdr>
                                              <w:divsChild>
                                                <w:div w:id="1871869541">
                                                  <w:marLeft w:val="0"/>
                                                  <w:marRight w:val="0"/>
                                                  <w:marTop w:val="0"/>
                                                  <w:marBottom w:val="300"/>
                                                  <w:divBdr>
                                                    <w:top w:val="none" w:sz="0" w:space="0" w:color="auto"/>
                                                    <w:left w:val="none" w:sz="0" w:space="0" w:color="auto"/>
                                                    <w:bottom w:val="none" w:sz="0" w:space="0" w:color="auto"/>
                                                    <w:right w:val="none" w:sz="0" w:space="0" w:color="auto"/>
                                                  </w:divBdr>
                                                  <w:divsChild>
                                                    <w:div w:id="1182092264">
                                                      <w:marLeft w:val="0"/>
                                                      <w:marRight w:val="0"/>
                                                      <w:marTop w:val="0"/>
                                                      <w:marBottom w:val="0"/>
                                                      <w:divBdr>
                                                        <w:top w:val="none" w:sz="0" w:space="0" w:color="auto"/>
                                                        <w:left w:val="none" w:sz="0" w:space="0" w:color="auto"/>
                                                        <w:bottom w:val="none" w:sz="0" w:space="0" w:color="auto"/>
                                                        <w:right w:val="none" w:sz="0" w:space="0" w:color="auto"/>
                                                      </w:divBdr>
                                                      <w:divsChild>
                                                        <w:div w:id="1113934758">
                                                          <w:marLeft w:val="0"/>
                                                          <w:marRight w:val="0"/>
                                                          <w:marTop w:val="0"/>
                                                          <w:marBottom w:val="0"/>
                                                          <w:divBdr>
                                                            <w:top w:val="none" w:sz="0" w:space="0" w:color="auto"/>
                                                            <w:left w:val="none" w:sz="0" w:space="0" w:color="auto"/>
                                                            <w:bottom w:val="none" w:sz="0" w:space="0" w:color="auto"/>
                                                            <w:right w:val="none" w:sz="0" w:space="0" w:color="auto"/>
                                                          </w:divBdr>
                                                        </w:div>
                                                      </w:divsChild>
                                                    </w:div>
                                                    <w:div w:id="1442263186">
                                                      <w:marLeft w:val="0"/>
                                                      <w:marRight w:val="0"/>
                                                      <w:marTop w:val="0"/>
                                                      <w:marBottom w:val="0"/>
                                                      <w:divBdr>
                                                        <w:top w:val="none" w:sz="0" w:space="0" w:color="auto"/>
                                                        <w:left w:val="none" w:sz="0" w:space="0" w:color="auto"/>
                                                        <w:bottom w:val="none" w:sz="0" w:space="0" w:color="auto"/>
                                                        <w:right w:val="none" w:sz="0" w:space="0" w:color="auto"/>
                                                      </w:divBdr>
                                                      <w:divsChild>
                                                        <w:div w:id="5758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3773">
                                          <w:marLeft w:val="0"/>
                                          <w:marRight w:val="0"/>
                                          <w:marTop w:val="0"/>
                                          <w:marBottom w:val="0"/>
                                          <w:divBdr>
                                            <w:top w:val="none" w:sz="0" w:space="0" w:color="auto"/>
                                            <w:left w:val="none" w:sz="0" w:space="0" w:color="auto"/>
                                            <w:bottom w:val="none" w:sz="0" w:space="0" w:color="auto"/>
                                            <w:right w:val="none" w:sz="0" w:space="0" w:color="auto"/>
                                          </w:divBdr>
                                          <w:divsChild>
                                            <w:div w:id="121118142">
                                              <w:marLeft w:val="-315"/>
                                              <w:marRight w:val="-330"/>
                                              <w:marTop w:val="300"/>
                                              <w:marBottom w:val="0"/>
                                              <w:divBdr>
                                                <w:top w:val="none" w:sz="0" w:space="0" w:color="auto"/>
                                                <w:left w:val="none" w:sz="0" w:space="0" w:color="auto"/>
                                                <w:bottom w:val="none" w:sz="0" w:space="0" w:color="auto"/>
                                                <w:right w:val="none" w:sz="0" w:space="0" w:color="auto"/>
                                              </w:divBdr>
                                              <w:divsChild>
                                                <w:div w:id="1322658762">
                                                  <w:marLeft w:val="0"/>
                                                  <w:marRight w:val="0"/>
                                                  <w:marTop w:val="0"/>
                                                  <w:marBottom w:val="0"/>
                                                  <w:divBdr>
                                                    <w:top w:val="none" w:sz="0" w:space="0" w:color="auto"/>
                                                    <w:left w:val="none" w:sz="0" w:space="0" w:color="auto"/>
                                                    <w:bottom w:val="none" w:sz="0" w:space="0" w:color="auto"/>
                                                    <w:right w:val="none" w:sz="0" w:space="0" w:color="auto"/>
                                                  </w:divBdr>
                                                </w:div>
                                              </w:divsChild>
                                            </w:div>
                                            <w:div w:id="1803881907">
                                              <w:marLeft w:val="-315"/>
                                              <w:marRight w:val="-330"/>
                                              <w:marTop w:val="0"/>
                                              <w:marBottom w:val="0"/>
                                              <w:divBdr>
                                                <w:top w:val="none" w:sz="0" w:space="0" w:color="auto"/>
                                                <w:left w:val="none" w:sz="0" w:space="0" w:color="auto"/>
                                                <w:bottom w:val="none" w:sz="0" w:space="0" w:color="auto"/>
                                                <w:right w:val="none" w:sz="0" w:space="0" w:color="auto"/>
                                              </w:divBdr>
                                              <w:divsChild>
                                                <w:div w:id="1995377621">
                                                  <w:marLeft w:val="0"/>
                                                  <w:marRight w:val="0"/>
                                                  <w:marTop w:val="0"/>
                                                  <w:marBottom w:val="0"/>
                                                  <w:divBdr>
                                                    <w:top w:val="none" w:sz="0" w:space="0" w:color="auto"/>
                                                    <w:left w:val="none" w:sz="0" w:space="0" w:color="auto"/>
                                                    <w:bottom w:val="none" w:sz="0" w:space="0" w:color="auto"/>
                                                    <w:right w:val="none" w:sz="0" w:space="0" w:color="auto"/>
                                                  </w:divBdr>
                                                  <w:divsChild>
                                                    <w:div w:id="1827278445">
                                                      <w:marLeft w:val="0"/>
                                                      <w:marRight w:val="0"/>
                                                      <w:marTop w:val="0"/>
                                                      <w:marBottom w:val="1050"/>
                                                      <w:divBdr>
                                                        <w:top w:val="none" w:sz="0" w:space="0" w:color="auto"/>
                                                        <w:left w:val="none" w:sz="0" w:space="0" w:color="auto"/>
                                                        <w:bottom w:val="none" w:sz="0" w:space="0" w:color="auto"/>
                                                        <w:right w:val="none" w:sz="0" w:space="0" w:color="auto"/>
                                                      </w:divBdr>
                                                      <w:divsChild>
                                                        <w:div w:id="804587890">
                                                          <w:marLeft w:val="0"/>
                                                          <w:marRight w:val="0"/>
                                                          <w:marTop w:val="0"/>
                                                          <w:marBottom w:val="300"/>
                                                          <w:divBdr>
                                                            <w:top w:val="none" w:sz="0" w:space="0" w:color="auto"/>
                                                            <w:left w:val="none" w:sz="0" w:space="0" w:color="auto"/>
                                                            <w:bottom w:val="none" w:sz="0" w:space="0" w:color="auto"/>
                                                            <w:right w:val="none" w:sz="0" w:space="0" w:color="auto"/>
                                                          </w:divBdr>
                                                          <w:divsChild>
                                                            <w:div w:id="691344049">
                                                              <w:marLeft w:val="0"/>
                                                              <w:marRight w:val="0"/>
                                                              <w:marTop w:val="0"/>
                                                              <w:marBottom w:val="0"/>
                                                              <w:divBdr>
                                                                <w:top w:val="none" w:sz="0" w:space="0" w:color="auto"/>
                                                                <w:left w:val="none" w:sz="0" w:space="0" w:color="auto"/>
                                                                <w:bottom w:val="none" w:sz="0" w:space="0" w:color="auto"/>
                                                                <w:right w:val="none" w:sz="0" w:space="0" w:color="auto"/>
                                                              </w:divBdr>
                                                              <w:divsChild>
                                                                <w:div w:id="1745447139">
                                                                  <w:marLeft w:val="0"/>
                                                                  <w:marRight w:val="0"/>
                                                                  <w:marTop w:val="0"/>
                                                                  <w:marBottom w:val="225"/>
                                                                  <w:divBdr>
                                                                    <w:top w:val="none" w:sz="0" w:space="0" w:color="auto"/>
                                                                    <w:left w:val="none" w:sz="0" w:space="0" w:color="auto"/>
                                                                    <w:bottom w:val="single" w:sz="6" w:space="13" w:color="0F1D2F"/>
                                                                    <w:right w:val="none" w:sz="0" w:space="0" w:color="auto"/>
                                                                  </w:divBdr>
                                                                  <w:divsChild>
                                                                    <w:div w:id="117573805">
                                                                      <w:marLeft w:val="0"/>
                                                                      <w:marRight w:val="0"/>
                                                                      <w:marTop w:val="0"/>
                                                                      <w:marBottom w:val="0"/>
                                                                      <w:divBdr>
                                                                        <w:top w:val="none" w:sz="0" w:space="0" w:color="auto"/>
                                                                        <w:left w:val="none" w:sz="0" w:space="0" w:color="auto"/>
                                                                        <w:bottom w:val="none" w:sz="0" w:space="0" w:color="auto"/>
                                                                        <w:right w:val="none" w:sz="0" w:space="0" w:color="auto"/>
                                                                      </w:divBdr>
                                                                      <w:divsChild>
                                                                        <w:div w:id="1527907278">
                                                                          <w:marLeft w:val="210"/>
                                                                          <w:marRight w:val="0"/>
                                                                          <w:marTop w:val="0"/>
                                                                          <w:marBottom w:val="0"/>
                                                                          <w:divBdr>
                                                                            <w:top w:val="none" w:sz="0" w:space="0" w:color="auto"/>
                                                                            <w:left w:val="none" w:sz="0" w:space="0" w:color="auto"/>
                                                                            <w:bottom w:val="none" w:sz="0" w:space="0" w:color="auto"/>
                                                                            <w:right w:val="none" w:sz="0" w:space="0" w:color="auto"/>
                                                                          </w:divBdr>
                                                                        </w:div>
                                                                        <w:div w:id="19158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662">
                                                                  <w:marLeft w:val="0"/>
                                                                  <w:marRight w:val="0"/>
                                                                  <w:marTop w:val="0"/>
                                                                  <w:marBottom w:val="0"/>
                                                                  <w:divBdr>
                                                                    <w:top w:val="none" w:sz="0" w:space="0" w:color="auto"/>
                                                                    <w:left w:val="none" w:sz="0" w:space="0" w:color="auto"/>
                                                                    <w:bottom w:val="none" w:sz="0" w:space="0" w:color="auto"/>
                                                                    <w:right w:val="none" w:sz="0" w:space="0" w:color="auto"/>
                                                                  </w:divBdr>
                                                                  <w:divsChild>
                                                                    <w:div w:id="1036196735">
                                                                      <w:marLeft w:val="0"/>
                                                                      <w:marRight w:val="0"/>
                                                                      <w:marTop w:val="0"/>
                                                                      <w:marBottom w:val="0"/>
                                                                      <w:divBdr>
                                                                        <w:top w:val="none" w:sz="0" w:space="0" w:color="auto"/>
                                                                        <w:left w:val="none" w:sz="0" w:space="0" w:color="auto"/>
                                                                        <w:bottom w:val="none" w:sz="0" w:space="0" w:color="auto"/>
                                                                        <w:right w:val="none" w:sz="0" w:space="0" w:color="auto"/>
                                                                      </w:divBdr>
                                                                    </w:div>
                                                                    <w:div w:id="19209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30494">
                                                          <w:marLeft w:val="0"/>
                                                          <w:marRight w:val="0"/>
                                                          <w:marTop w:val="0"/>
                                                          <w:marBottom w:val="300"/>
                                                          <w:divBdr>
                                                            <w:top w:val="none" w:sz="0" w:space="0" w:color="auto"/>
                                                            <w:left w:val="none" w:sz="0" w:space="0" w:color="auto"/>
                                                            <w:bottom w:val="none" w:sz="0" w:space="0" w:color="auto"/>
                                                            <w:right w:val="none" w:sz="0" w:space="0" w:color="auto"/>
                                                          </w:divBdr>
                                                          <w:divsChild>
                                                            <w:div w:id="882640481">
                                                              <w:marLeft w:val="0"/>
                                                              <w:marRight w:val="0"/>
                                                              <w:marTop w:val="0"/>
                                                              <w:marBottom w:val="0"/>
                                                              <w:divBdr>
                                                                <w:top w:val="none" w:sz="0" w:space="0" w:color="auto"/>
                                                                <w:left w:val="none" w:sz="0" w:space="0" w:color="auto"/>
                                                                <w:bottom w:val="none" w:sz="0" w:space="0" w:color="auto"/>
                                                                <w:right w:val="none" w:sz="0" w:space="0" w:color="auto"/>
                                                              </w:divBdr>
                                                            </w:div>
                                                            <w:div w:id="1160585027">
                                                              <w:marLeft w:val="0"/>
                                                              <w:marRight w:val="0"/>
                                                              <w:marTop w:val="0"/>
                                                              <w:marBottom w:val="0"/>
                                                              <w:divBdr>
                                                                <w:top w:val="none" w:sz="0" w:space="0" w:color="auto"/>
                                                                <w:left w:val="none" w:sz="0" w:space="0" w:color="auto"/>
                                                                <w:bottom w:val="none" w:sz="0" w:space="0" w:color="auto"/>
                                                                <w:right w:val="none" w:sz="0" w:space="0" w:color="auto"/>
                                                              </w:divBdr>
                                                            </w:div>
                                                            <w:div w:id="1952469062">
                                                              <w:marLeft w:val="0"/>
                                                              <w:marRight w:val="0"/>
                                                              <w:marTop w:val="0"/>
                                                              <w:marBottom w:val="0"/>
                                                              <w:divBdr>
                                                                <w:top w:val="none" w:sz="0" w:space="0" w:color="auto"/>
                                                                <w:left w:val="none" w:sz="0" w:space="0" w:color="auto"/>
                                                                <w:bottom w:val="none" w:sz="0" w:space="0" w:color="auto"/>
                                                                <w:right w:val="none" w:sz="0" w:space="0" w:color="auto"/>
                                                              </w:divBdr>
                                                            </w:div>
                                                            <w:div w:id="2009479662">
                                                              <w:marLeft w:val="0"/>
                                                              <w:marRight w:val="0"/>
                                                              <w:marTop w:val="0"/>
                                                              <w:marBottom w:val="225"/>
                                                              <w:divBdr>
                                                                <w:top w:val="none" w:sz="0" w:space="0" w:color="auto"/>
                                                                <w:left w:val="none" w:sz="0" w:space="0" w:color="auto"/>
                                                                <w:bottom w:val="single" w:sz="6" w:space="13" w:color="0F1D2F"/>
                                                                <w:right w:val="none" w:sz="0" w:space="0" w:color="auto"/>
                                                              </w:divBdr>
                                                              <w:divsChild>
                                                                <w:div w:id="510993370">
                                                                  <w:marLeft w:val="0"/>
                                                                  <w:marRight w:val="0"/>
                                                                  <w:marTop w:val="0"/>
                                                                  <w:marBottom w:val="0"/>
                                                                  <w:divBdr>
                                                                    <w:top w:val="none" w:sz="0" w:space="0" w:color="auto"/>
                                                                    <w:left w:val="none" w:sz="0" w:space="0" w:color="auto"/>
                                                                    <w:bottom w:val="none" w:sz="0" w:space="0" w:color="auto"/>
                                                                    <w:right w:val="none" w:sz="0" w:space="0" w:color="auto"/>
                                                                  </w:divBdr>
                                                                  <w:divsChild>
                                                                    <w:div w:id="62207942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0352060">
      <w:bodyDiv w:val="1"/>
      <w:marLeft w:val="0"/>
      <w:marRight w:val="0"/>
      <w:marTop w:val="0"/>
      <w:marBottom w:val="0"/>
      <w:divBdr>
        <w:top w:val="none" w:sz="0" w:space="0" w:color="auto"/>
        <w:left w:val="none" w:sz="0" w:space="0" w:color="auto"/>
        <w:bottom w:val="none" w:sz="0" w:space="0" w:color="auto"/>
        <w:right w:val="none" w:sz="0" w:space="0" w:color="auto"/>
      </w:divBdr>
    </w:div>
    <w:div w:id="725184266">
      <w:bodyDiv w:val="1"/>
      <w:marLeft w:val="0"/>
      <w:marRight w:val="0"/>
      <w:marTop w:val="0"/>
      <w:marBottom w:val="0"/>
      <w:divBdr>
        <w:top w:val="none" w:sz="0" w:space="0" w:color="auto"/>
        <w:left w:val="none" w:sz="0" w:space="0" w:color="auto"/>
        <w:bottom w:val="none" w:sz="0" w:space="0" w:color="auto"/>
        <w:right w:val="none" w:sz="0" w:space="0" w:color="auto"/>
      </w:divBdr>
      <w:divsChild>
        <w:div w:id="1315061589">
          <w:marLeft w:val="0"/>
          <w:marRight w:val="0"/>
          <w:marTop w:val="0"/>
          <w:marBottom w:val="0"/>
          <w:divBdr>
            <w:top w:val="none" w:sz="0" w:space="0" w:color="auto"/>
            <w:left w:val="none" w:sz="0" w:space="0" w:color="auto"/>
            <w:bottom w:val="none" w:sz="0" w:space="0" w:color="auto"/>
            <w:right w:val="none" w:sz="0" w:space="0" w:color="auto"/>
          </w:divBdr>
        </w:div>
      </w:divsChild>
    </w:div>
    <w:div w:id="1043871704">
      <w:bodyDiv w:val="1"/>
      <w:marLeft w:val="0"/>
      <w:marRight w:val="0"/>
      <w:marTop w:val="0"/>
      <w:marBottom w:val="0"/>
      <w:divBdr>
        <w:top w:val="none" w:sz="0" w:space="0" w:color="auto"/>
        <w:left w:val="none" w:sz="0" w:space="0" w:color="auto"/>
        <w:bottom w:val="none" w:sz="0" w:space="0" w:color="auto"/>
        <w:right w:val="none" w:sz="0" w:space="0" w:color="auto"/>
      </w:divBdr>
    </w:div>
    <w:div w:id="1143959184">
      <w:bodyDiv w:val="1"/>
      <w:marLeft w:val="0"/>
      <w:marRight w:val="0"/>
      <w:marTop w:val="0"/>
      <w:marBottom w:val="0"/>
      <w:divBdr>
        <w:top w:val="none" w:sz="0" w:space="0" w:color="auto"/>
        <w:left w:val="none" w:sz="0" w:space="0" w:color="auto"/>
        <w:bottom w:val="none" w:sz="0" w:space="0" w:color="auto"/>
        <w:right w:val="none" w:sz="0" w:space="0" w:color="auto"/>
      </w:divBdr>
    </w:div>
    <w:div w:id="1280212839">
      <w:bodyDiv w:val="1"/>
      <w:marLeft w:val="0"/>
      <w:marRight w:val="0"/>
      <w:marTop w:val="0"/>
      <w:marBottom w:val="0"/>
      <w:divBdr>
        <w:top w:val="none" w:sz="0" w:space="0" w:color="auto"/>
        <w:left w:val="none" w:sz="0" w:space="0" w:color="auto"/>
        <w:bottom w:val="none" w:sz="0" w:space="0" w:color="auto"/>
        <w:right w:val="none" w:sz="0" w:space="0" w:color="auto"/>
      </w:divBdr>
    </w:div>
    <w:div w:id="1355382681">
      <w:bodyDiv w:val="1"/>
      <w:marLeft w:val="0"/>
      <w:marRight w:val="0"/>
      <w:marTop w:val="0"/>
      <w:marBottom w:val="0"/>
      <w:divBdr>
        <w:top w:val="none" w:sz="0" w:space="0" w:color="auto"/>
        <w:left w:val="none" w:sz="0" w:space="0" w:color="auto"/>
        <w:bottom w:val="none" w:sz="0" w:space="0" w:color="auto"/>
        <w:right w:val="none" w:sz="0" w:space="0" w:color="auto"/>
      </w:divBdr>
      <w:divsChild>
        <w:div w:id="1895970528">
          <w:marLeft w:val="0"/>
          <w:marRight w:val="0"/>
          <w:marTop w:val="225"/>
          <w:marBottom w:val="0"/>
          <w:divBdr>
            <w:top w:val="none" w:sz="0" w:space="0" w:color="auto"/>
            <w:left w:val="none" w:sz="0" w:space="0" w:color="auto"/>
            <w:bottom w:val="none" w:sz="0" w:space="0" w:color="auto"/>
            <w:right w:val="none" w:sz="0" w:space="0" w:color="auto"/>
          </w:divBdr>
          <w:divsChild>
            <w:div w:id="1425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1046">
      <w:bodyDiv w:val="1"/>
      <w:marLeft w:val="0"/>
      <w:marRight w:val="0"/>
      <w:marTop w:val="0"/>
      <w:marBottom w:val="0"/>
      <w:divBdr>
        <w:top w:val="none" w:sz="0" w:space="0" w:color="auto"/>
        <w:left w:val="none" w:sz="0" w:space="0" w:color="auto"/>
        <w:bottom w:val="none" w:sz="0" w:space="0" w:color="auto"/>
        <w:right w:val="none" w:sz="0" w:space="0" w:color="auto"/>
      </w:divBdr>
      <w:divsChild>
        <w:div w:id="1274828929">
          <w:marLeft w:val="0"/>
          <w:marRight w:val="0"/>
          <w:marTop w:val="0"/>
          <w:marBottom w:val="0"/>
          <w:divBdr>
            <w:top w:val="none" w:sz="0" w:space="0" w:color="auto"/>
            <w:left w:val="none" w:sz="0" w:space="0" w:color="auto"/>
            <w:bottom w:val="none" w:sz="0" w:space="0" w:color="auto"/>
            <w:right w:val="none" w:sz="0" w:space="0" w:color="auto"/>
          </w:divBdr>
        </w:div>
      </w:divsChild>
    </w:div>
    <w:div w:id="1711831762">
      <w:bodyDiv w:val="1"/>
      <w:marLeft w:val="0"/>
      <w:marRight w:val="0"/>
      <w:marTop w:val="0"/>
      <w:marBottom w:val="0"/>
      <w:divBdr>
        <w:top w:val="none" w:sz="0" w:space="0" w:color="auto"/>
        <w:left w:val="none" w:sz="0" w:space="0" w:color="auto"/>
        <w:bottom w:val="none" w:sz="0" w:space="0" w:color="auto"/>
        <w:right w:val="none" w:sz="0" w:space="0" w:color="auto"/>
      </w:divBdr>
    </w:div>
    <w:div w:id="18744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tidianocondominio.ilsole24ore.com/docs/Editrice/ILSOLE24ORE/QUOTIDIANO_CONDOMINIO/Online/_Oggetti_Correlati/Documenti/2020/10/30/5466.pdf?uuid=ADdF28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C18C-8302-417E-B719-28CA0FC7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rezzonico</dc:creator>
  <cp:keywords/>
  <dc:description/>
  <cp:lastModifiedBy>Matteo Matteo</cp:lastModifiedBy>
  <cp:revision>3</cp:revision>
  <cp:lastPrinted>2020-10-29T15:22:00Z</cp:lastPrinted>
  <dcterms:created xsi:type="dcterms:W3CDTF">2020-11-01T16:37:00Z</dcterms:created>
  <dcterms:modified xsi:type="dcterms:W3CDTF">2020-11-01T16:38:00Z</dcterms:modified>
</cp:coreProperties>
</file>